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14F36C10" w14:textId="20C5018A"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2021Q4</w:t>
      </w:r>
      <w:r w:rsidR="00AB51B1">
        <w:rPr>
          <w:rFonts w:eastAsia="Times New Roman" w:cs="Times New Roman"/>
          <w:sz w:val="36"/>
          <w:szCs w:val="36"/>
        </w:rPr>
        <w:t>.</w:t>
      </w:r>
      <w:r w:rsidR="00D37049">
        <w:rPr>
          <w:rFonts w:eastAsia="Times New Roman" w:cs="Times New Roman"/>
          <w:sz w:val="36"/>
          <w:szCs w:val="36"/>
        </w:rPr>
        <w:t>1 Minor</w:t>
      </w:r>
      <w:r w:rsidR="00AB51B1">
        <w:rPr>
          <w:rFonts w:eastAsia="Times New Roman" w:cs="Times New Roman"/>
          <w:sz w:val="36"/>
          <w:szCs w:val="36"/>
        </w:rPr>
        <w:t xml:space="preserve"> Release</w:t>
      </w:r>
    </w:p>
    <w:p w14:paraId="59855CC8" w14:textId="77777777" w:rsidR="0030169F" w:rsidRPr="00427CCE" w:rsidRDefault="0030169F" w:rsidP="00415028">
      <w:pPr>
        <w:pStyle w:val="SUBGEADINGRELEASENOTES"/>
        <w:ind w:left="283" w:right="283"/>
      </w:pPr>
      <w:bookmarkStart w:id="0" w:name="_Toc62638660"/>
    </w:p>
    <w:p w14:paraId="6C453C9F" w14:textId="77777777" w:rsidR="0030169F" w:rsidRPr="00427CCE" w:rsidRDefault="0030169F" w:rsidP="00415028">
      <w:pPr>
        <w:pStyle w:val="SUBGEADINGRELEASENOTES"/>
        <w:ind w:left="283" w:right="283"/>
      </w:pPr>
      <w:r w:rsidRPr="00427CCE">
        <w:t>Case Resolutions</w:t>
      </w:r>
      <w:bookmarkEnd w:id="0"/>
    </w:p>
    <w:p w14:paraId="3733830B" w14:textId="4E4E9759" w:rsidR="0030169F" w:rsidRPr="00427CCE" w:rsidRDefault="33FE34EA" w:rsidP="00415028">
      <w:pPr>
        <w:ind w:left="283" w:right="283"/>
      </w:pPr>
      <w:r>
        <w:t xml:space="preserve">Please visit </w:t>
      </w:r>
      <w:hyperlink r:id="rId11" w:history="1">
        <w:r w:rsidR="00DE107F" w:rsidRPr="00C75AAA">
          <w:rPr>
            <w:rStyle w:val="Hyperlink"/>
          </w:rPr>
          <w:t>https://support.loqate.com/release-information/2021q4-1-resolved-cases/</w:t>
        </w:r>
      </w:hyperlink>
      <w:r w:rsidR="37387240">
        <w:t xml:space="preserve"> </w:t>
      </w:r>
      <w:r>
        <w:t xml:space="preserve">for a list of 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79A62CE" w14:textId="24D324C5" w:rsidR="00747254" w:rsidRDefault="00747254" w:rsidP="00415028">
      <w:pPr>
        <w:pStyle w:val="SUBGEADINGRELEASENOTES"/>
        <w:ind w:left="283" w:right="283"/>
      </w:pPr>
      <w:r>
        <w:t>Local API Notices</w:t>
      </w:r>
    </w:p>
    <w:p w14:paraId="71E37CC2" w14:textId="21B3F7CD" w:rsidR="00747254" w:rsidRPr="00747254" w:rsidRDefault="00747254" w:rsidP="00415028">
      <w:pPr>
        <w:widowControl/>
        <w:spacing w:before="150"/>
        <w:ind w:left="283" w:right="283"/>
      </w:pPr>
      <w:r w:rsidRPr="00747254">
        <w:t xml:space="preserve">This is to inform our customers that </w:t>
      </w:r>
      <w:r w:rsidR="00DE107F">
        <w:t>in this</w:t>
      </w:r>
      <w:r w:rsidRPr="00747254">
        <w:t xml:space="preserve"> </w:t>
      </w:r>
      <w:r>
        <w:t>2021</w:t>
      </w:r>
      <w:r w:rsidRPr="00747254">
        <w:t xml:space="preserve">Q4.1 release </w:t>
      </w:r>
      <w:r w:rsidR="00DE107F">
        <w:t xml:space="preserve">we have </w:t>
      </w:r>
      <w:r w:rsidRPr="00747254">
        <w:t>include</w:t>
      </w:r>
      <w:r w:rsidR="00DE107F">
        <w:t>d</w:t>
      </w:r>
      <w:r w:rsidRPr="00747254">
        <w:t xml:space="preserve"> performance improvements over the</w:t>
      </w:r>
      <w:r w:rsidR="002550E8">
        <w:t xml:space="preserve"> recent</w:t>
      </w:r>
      <w:r w:rsidRPr="00747254">
        <w:t xml:space="preserve"> current releases. </w:t>
      </w:r>
      <w:r w:rsidR="002550E8">
        <w:t xml:space="preserve">Please upgrade your API as soon as reasonable to benefit from the latest performance improvements. </w:t>
      </w:r>
    </w:p>
    <w:p w14:paraId="0AA88F46" w14:textId="77C226F6" w:rsidR="4D97E852" w:rsidRDefault="4D97E852" w:rsidP="00415028">
      <w:pPr>
        <w:ind w:left="283" w:right="283"/>
        <w:rPr>
          <w:rFonts w:eastAsia="Calibri" w:cs="Arial"/>
          <w:b/>
          <w:bCs/>
          <w:color w:val="00D7D2"/>
          <w:szCs w:val="20"/>
        </w:rPr>
      </w:pPr>
    </w:p>
    <w:p w14:paraId="3ACB786B" w14:textId="77777777" w:rsidR="002550E8" w:rsidRDefault="002550E8">
      <w:pPr>
        <w:widowControl/>
        <w:spacing w:after="160" w:line="259" w:lineRule="auto"/>
        <w:rPr>
          <w:rFonts w:eastAsiaTheme="majorEastAsia" w:cstheme="majorBidi"/>
          <w:b/>
          <w:bCs/>
          <w:color w:val="00D7D2"/>
          <w:sz w:val="24"/>
          <w:szCs w:val="28"/>
        </w:rPr>
      </w:pPr>
      <w:bookmarkStart w:id="1" w:name="_Toc62638664"/>
      <w:r>
        <w:br w:type="page"/>
      </w:r>
    </w:p>
    <w:p w14:paraId="4520C68F" w14:textId="2D373A7C" w:rsidR="0030169F" w:rsidRDefault="0030169F" w:rsidP="00415028">
      <w:pPr>
        <w:pStyle w:val="SUBGEADINGRELEASENOTES"/>
        <w:ind w:left="283" w:right="283"/>
      </w:pPr>
      <w:r>
        <w:lastRenderedPageBreak/>
        <w:t>Local API Improvements</w:t>
      </w:r>
      <w:bookmarkEnd w:id="1"/>
    </w:p>
    <w:p w14:paraId="4884D66B" w14:textId="73906014" w:rsidR="001D6763" w:rsidRDefault="001D6763" w:rsidP="00415028">
      <w:pPr>
        <w:pStyle w:val="Heading2"/>
        <w:ind w:left="283" w:right="283"/>
        <w:rPr>
          <w:i/>
        </w:rPr>
      </w:pPr>
      <w:r>
        <w:t xml:space="preserve">Verify </w:t>
      </w:r>
      <w:r w:rsidR="00FC2B98">
        <w:t>Improvements</w:t>
      </w:r>
    </w:p>
    <w:p w14:paraId="727F6AA3" w14:textId="77777777" w:rsidR="00C11699" w:rsidRPr="00C11699" w:rsidRDefault="00C11699" w:rsidP="00415028">
      <w:pPr>
        <w:ind w:left="283" w:right="283"/>
      </w:pPr>
    </w:p>
    <w:p w14:paraId="478BEE70" w14:textId="5E472B2F" w:rsidR="00415028" w:rsidRDefault="00415028" w:rsidP="00415028">
      <w:bookmarkStart w:id="2" w:name="_Toc62638686"/>
    </w:p>
    <w:p w14:paraId="6B508483" w14:textId="1E96BF70" w:rsidR="00415028" w:rsidRPr="00415028" w:rsidRDefault="00415028" w:rsidP="00415028">
      <w:pPr>
        <w:ind w:left="283"/>
      </w:pPr>
      <w:r>
        <w:t>In the 2021Q4.1 release the</w:t>
      </w:r>
      <w:r w:rsidR="004B6144">
        <w:t xml:space="preserve">re is a fix for a </w:t>
      </w:r>
      <w:r>
        <w:t xml:space="preserve">format issue on </w:t>
      </w:r>
      <w:r w:rsidR="004B6144">
        <w:t xml:space="preserve">Australian addresses containing a </w:t>
      </w:r>
      <w:r>
        <w:t>PO BOX</w:t>
      </w:r>
    </w:p>
    <w:p w14:paraId="7DCC3859" w14:textId="08F9B1FA" w:rsidR="00D37049" w:rsidRDefault="00D37049" w:rsidP="00415028">
      <w:pPr>
        <w:ind w:left="283" w:right="283"/>
      </w:pPr>
    </w:p>
    <w:tbl>
      <w:tblPr>
        <w:tblW w:w="4917" w:type="pct"/>
        <w:tblInd w:w="276"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7972"/>
        <w:gridCol w:w="8297"/>
      </w:tblGrid>
      <w:tr w:rsidR="00415028" w14:paraId="65EBADB0" w14:textId="77777777" w:rsidTr="000E3F96">
        <w:trPr>
          <w:trHeight w:val="208"/>
        </w:trPr>
        <w:tc>
          <w:tcPr>
            <w:tcW w:w="24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C7EA9" w14:textId="4E1103D1" w:rsidR="00D37049" w:rsidRDefault="00D37049" w:rsidP="00415028">
            <w:pPr>
              <w:ind w:left="283" w:right="283"/>
              <w:jc w:val="center"/>
              <w:rPr>
                <w:rFonts w:ascii="Arial" w:eastAsia="Times New Roman" w:hAnsi="Arial" w:cs="Arial"/>
                <w:b/>
                <w:bCs/>
              </w:rPr>
            </w:pPr>
            <w:r>
              <w:rPr>
                <w:rFonts w:ascii="Arial" w:eastAsia="Times New Roman" w:hAnsi="Arial" w:cs="Arial"/>
                <w:b/>
                <w:bCs/>
              </w:rPr>
              <w:t>2021Q4.0 - Lowercase (Before Change)</w:t>
            </w:r>
          </w:p>
        </w:tc>
        <w:tc>
          <w:tcPr>
            <w:tcW w:w="2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A3D33D" w14:textId="77777777" w:rsidR="00D37049" w:rsidRDefault="00D37049" w:rsidP="00415028">
            <w:pPr>
              <w:ind w:left="283" w:right="283"/>
              <w:jc w:val="center"/>
              <w:rPr>
                <w:rFonts w:ascii="Arial" w:eastAsia="Times New Roman" w:hAnsi="Arial" w:cs="Arial"/>
                <w:b/>
                <w:bCs/>
              </w:rPr>
            </w:pPr>
            <w:r>
              <w:rPr>
                <w:rFonts w:ascii="Arial" w:eastAsia="Times New Roman" w:hAnsi="Arial" w:cs="Arial"/>
                <w:b/>
                <w:bCs/>
              </w:rPr>
              <w:t>2021Q4.0 - Uppercase (Before Change)</w:t>
            </w:r>
          </w:p>
        </w:tc>
      </w:tr>
      <w:tr w:rsidR="00415028" w14:paraId="3A060727" w14:textId="77777777" w:rsidTr="000E3F96">
        <w:trPr>
          <w:cantSplit/>
          <w:trHeight w:val="6092"/>
        </w:trPr>
        <w:tc>
          <w:tcPr>
            <w:tcW w:w="24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7333AC" w14:textId="77777777" w:rsidR="00D37049" w:rsidRDefault="00D37049" w:rsidP="00415028">
            <w:pPr>
              <w:pStyle w:val="NormalWeb"/>
              <w:ind w:left="283" w:right="283"/>
              <w:rPr>
                <w:rFonts w:ascii="Arial" w:eastAsiaTheme="minorEastAsia" w:hAnsi="Arial" w:cs="Arial"/>
              </w:rPr>
            </w:pPr>
            <w:bookmarkStart w:id="3" w:name="_Hlk89171772"/>
            <w:r>
              <w:rPr>
                <w:rFonts w:ascii="Arial" w:hAnsi="Arial" w:cs="Arial"/>
                <w:noProof/>
              </w:rPr>
              <w:drawing>
                <wp:inline distT="0" distB="0" distL="0" distR="0" wp14:anchorId="144D372A" wp14:editId="32B84610">
                  <wp:extent cx="4299007" cy="3505344"/>
                  <wp:effectExtent l="0" t="0" r="635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2834" cy="3524772"/>
                          </a:xfrm>
                          <a:prstGeom prst="rect">
                            <a:avLst/>
                          </a:prstGeom>
                          <a:noFill/>
                          <a:ln>
                            <a:noFill/>
                          </a:ln>
                        </pic:spPr>
                      </pic:pic>
                    </a:graphicData>
                  </a:graphic>
                </wp:inline>
              </w:drawing>
            </w:r>
          </w:p>
          <w:p w14:paraId="67921530" w14:textId="77777777" w:rsidR="00D37049" w:rsidRDefault="00D37049" w:rsidP="00415028">
            <w:pPr>
              <w:pStyle w:val="NormalWeb"/>
              <w:ind w:left="283" w:right="283"/>
              <w:rPr>
                <w:rFonts w:ascii="Arial" w:hAnsi="Arial" w:cs="Arial"/>
              </w:rPr>
            </w:pPr>
            <w:r w:rsidRPr="00415028">
              <w:rPr>
                <w:rFonts w:ascii="Arial" w:hAnsi="Arial" w:cs="Arial"/>
                <w:sz w:val="20"/>
                <w:szCs w:val="20"/>
              </w:rPr>
              <w:t xml:space="preserve">When PO </w:t>
            </w:r>
            <w:r w:rsidRPr="00415028">
              <w:rPr>
                <w:rStyle w:val="Strong"/>
                <w:rFonts w:ascii="Arial" w:hAnsi="Arial" w:cs="Arial"/>
                <w:sz w:val="20"/>
                <w:szCs w:val="20"/>
              </w:rPr>
              <w:t>Box</w:t>
            </w:r>
            <w:r w:rsidRPr="00415028">
              <w:rPr>
                <w:rFonts w:ascii="Arial" w:hAnsi="Arial" w:cs="Arial"/>
                <w:sz w:val="20"/>
                <w:szCs w:val="20"/>
              </w:rPr>
              <w:t xml:space="preserve"> is in lower case, result is GPO BOX 544.</w:t>
            </w:r>
          </w:p>
        </w:tc>
        <w:tc>
          <w:tcPr>
            <w:tcW w:w="255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43CC1E" w14:textId="77777777" w:rsidR="00D37049" w:rsidRDefault="00D37049" w:rsidP="00415028">
            <w:pPr>
              <w:pStyle w:val="NormalWeb"/>
              <w:ind w:left="283" w:right="283"/>
              <w:rPr>
                <w:rFonts w:ascii="Arial" w:hAnsi="Arial" w:cs="Arial"/>
              </w:rPr>
            </w:pPr>
            <w:r>
              <w:rPr>
                <w:rFonts w:ascii="Arial" w:hAnsi="Arial" w:cs="Arial"/>
                <w:noProof/>
              </w:rPr>
              <w:drawing>
                <wp:inline distT="0" distB="0" distL="0" distR="0" wp14:anchorId="418DA9F9" wp14:editId="72BE8CE5">
                  <wp:extent cx="4457700" cy="3467100"/>
                  <wp:effectExtent l="0" t="0" r="0" b="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467100"/>
                          </a:xfrm>
                          <a:prstGeom prst="rect">
                            <a:avLst/>
                          </a:prstGeom>
                          <a:noFill/>
                          <a:ln>
                            <a:noFill/>
                          </a:ln>
                        </pic:spPr>
                      </pic:pic>
                    </a:graphicData>
                  </a:graphic>
                </wp:inline>
              </w:drawing>
            </w:r>
          </w:p>
          <w:p w14:paraId="45FA9A80" w14:textId="77777777" w:rsidR="00D37049" w:rsidRDefault="00D37049" w:rsidP="00415028">
            <w:pPr>
              <w:pStyle w:val="NormalWeb"/>
              <w:ind w:left="283" w:right="283"/>
              <w:rPr>
                <w:rFonts w:ascii="Arial" w:hAnsi="Arial" w:cs="Arial"/>
              </w:rPr>
            </w:pPr>
            <w:r w:rsidRPr="00415028">
              <w:rPr>
                <w:rFonts w:ascii="Arial" w:hAnsi="Arial" w:cs="Arial"/>
                <w:sz w:val="18"/>
                <w:szCs w:val="18"/>
              </w:rPr>
              <w:t xml:space="preserve">When PO </w:t>
            </w:r>
            <w:r w:rsidRPr="00415028">
              <w:rPr>
                <w:rStyle w:val="Strong"/>
                <w:rFonts w:ascii="Arial" w:hAnsi="Arial" w:cs="Arial"/>
                <w:sz w:val="18"/>
                <w:szCs w:val="18"/>
              </w:rPr>
              <w:t>BOX</w:t>
            </w:r>
            <w:r w:rsidRPr="00415028">
              <w:rPr>
                <w:rFonts w:ascii="Arial" w:hAnsi="Arial" w:cs="Arial"/>
                <w:sz w:val="18"/>
                <w:szCs w:val="18"/>
              </w:rPr>
              <w:t xml:space="preserve"> is in upper case, result is GPO BOX 544d.</w:t>
            </w:r>
          </w:p>
        </w:tc>
      </w:tr>
    </w:tbl>
    <w:p w14:paraId="06D412E9" w14:textId="77777777" w:rsidR="00415028" w:rsidRDefault="00415028">
      <w:r>
        <w:br w:type="page"/>
      </w:r>
    </w:p>
    <w:tbl>
      <w:tblPr>
        <w:tblW w:w="4960" w:type="pct"/>
        <w:tblInd w:w="134"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255"/>
        <w:gridCol w:w="8306"/>
      </w:tblGrid>
      <w:tr w:rsidR="00415028" w14:paraId="6E161E75" w14:textId="77777777" w:rsidTr="000E3F96">
        <w:trPr>
          <w:trHeight w:val="208"/>
        </w:trPr>
        <w:tc>
          <w:tcPr>
            <w:tcW w:w="24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5315A6" w14:textId="717A95DC" w:rsidR="00415028" w:rsidRDefault="00415028" w:rsidP="00970039">
            <w:pPr>
              <w:ind w:left="283" w:right="283"/>
              <w:jc w:val="center"/>
              <w:rPr>
                <w:rFonts w:ascii="Arial" w:eastAsia="Times New Roman" w:hAnsi="Arial" w:cs="Arial"/>
                <w:b/>
                <w:bCs/>
              </w:rPr>
            </w:pPr>
            <w:r>
              <w:rPr>
                <w:rFonts w:ascii="Arial" w:eastAsia="Times New Roman" w:hAnsi="Arial" w:cs="Arial"/>
                <w:b/>
                <w:bCs/>
              </w:rPr>
              <w:lastRenderedPageBreak/>
              <w:t>2021Q4.0 - Lowercase (Before Change)</w:t>
            </w:r>
          </w:p>
        </w:tc>
        <w:tc>
          <w:tcPr>
            <w:tcW w:w="2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727599" w14:textId="77777777" w:rsidR="00415028" w:rsidRDefault="00415028" w:rsidP="00970039">
            <w:pPr>
              <w:ind w:left="283" w:right="283"/>
              <w:jc w:val="center"/>
              <w:rPr>
                <w:rFonts w:ascii="Arial" w:eastAsia="Times New Roman" w:hAnsi="Arial" w:cs="Arial"/>
                <w:b/>
                <w:bCs/>
              </w:rPr>
            </w:pPr>
            <w:r>
              <w:rPr>
                <w:rFonts w:ascii="Arial" w:eastAsia="Times New Roman" w:hAnsi="Arial" w:cs="Arial"/>
                <w:b/>
                <w:bCs/>
              </w:rPr>
              <w:t>2021Q4.0 - Uppercase (Before Change)</w:t>
            </w:r>
          </w:p>
        </w:tc>
      </w:tr>
      <w:tr w:rsidR="00415028" w14:paraId="4DD0E722" w14:textId="77777777" w:rsidTr="000E3F96">
        <w:trPr>
          <w:cantSplit/>
          <w:trHeight w:val="1209"/>
        </w:trPr>
        <w:tc>
          <w:tcPr>
            <w:tcW w:w="247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E70943" w14:textId="53AE4C40" w:rsidR="00D37049" w:rsidRDefault="00415028" w:rsidP="00415028">
            <w:pPr>
              <w:pStyle w:val="NormalWeb"/>
              <w:ind w:left="283" w:right="283"/>
              <w:rPr>
                <w:rFonts w:ascii="Arial" w:hAnsi="Arial" w:cs="Arial"/>
                <w:noProof/>
              </w:rPr>
            </w:pPr>
            <w:r>
              <w:rPr>
                <w:rFonts w:ascii="Segoe UI" w:hAnsi="Segoe UI" w:cs="Segoe UI"/>
                <w:color w:val="172B4D"/>
                <w:sz w:val="21"/>
                <w:szCs w:val="21"/>
                <w:shd w:val="clear" w:color="auto" w:fill="FFFFFF"/>
              </w:rPr>
              <w:t>When PO </w:t>
            </w:r>
            <w:r>
              <w:rPr>
                <w:rStyle w:val="Strong"/>
                <w:rFonts w:ascii="Segoe UI" w:eastAsiaTheme="majorEastAsia" w:hAnsi="Segoe UI" w:cs="Segoe UI"/>
                <w:color w:val="172B4D"/>
                <w:sz w:val="21"/>
                <w:szCs w:val="21"/>
                <w:shd w:val="clear" w:color="auto" w:fill="FFFFFF"/>
              </w:rPr>
              <w:t>Box</w:t>
            </w:r>
            <w:r>
              <w:rPr>
                <w:rFonts w:ascii="Segoe UI" w:hAnsi="Segoe UI" w:cs="Segoe UI"/>
                <w:color w:val="172B4D"/>
                <w:sz w:val="21"/>
                <w:szCs w:val="21"/>
                <w:shd w:val="clear" w:color="auto" w:fill="FFFFFF"/>
              </w:rPr>
              <w:t> is in lower case, result is GPO BOX 544.</w:t>
            </w:r>
            <w:r>
              <w:rPr>
                <w:noProof/>
              </w:rPr>
              <w:drawing>
                <wp:inline distT="0" distB="0" distL="0" distR="0" wp14:anchorId="3E99C60E" wp14:editId="7F277D8E">
                  <wp:extent cx="4787660" cy="344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6361" cy="3462885"/>
                          </a:xfrm>
                          <a:prstGeom prst="rect">
                            <a:avLst/>
                          </a:prstGeom>
                        </pic:spPr>
                      </pic:pic>
                    </a:graphicData>
                  </a:graphic>
                </wp:inline>
              </w:drawing>
            </w:r>
          </w:p>
        </w:tc>
        <w:tc>
          <w:tcPr>
            <w:tcW w:w="252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95B4773" w14:textId="1108D46C" w:rsidR="00D37049" w:rsidRDefault="00415028" w:rsidP="00415028">
            <w:pPr>
              <w:pStyle w:val="NormalWeb"/>
              <w:ind w:left="283" w:right="283"/>
              <w:rPr>
                <w:rFonts w:ascii="Arial" w:hAnsi="Arial" w:cs="Arial"/>
                <w:noProof/>
              </w:rPr>
            </w:pPr>
            <w:r>
              <w:rPr>
                <w:rFonts w:ascii="Segoe UI" w:hAnsi="Segoe UI" w:cs="Segoe UI"/>
                <w:color w:val="172B4D"/>
                <w:sz w:val="21"/>
                <w:szCs w:val="21"/>
                <w:shd w:val="clear" w:color="auto" w:fill="FFFFFF"/>
              </w:rPr>
              <w:t>When PO </w:t>
            </w:r>
            <w:r>
              <w:rPr>
                <w:rStyle w:val="Strong"/>
                <w:rFonts w:ascii="Segoe UI" w:eastAsiaTheme="majorEastAsia" w:hAnsi="Segoe UI" w:cs="Segoe UI"/>
                <w:color w:val="172B4D"/>
                <w:sz w:val="21"/>
                <w:szCs w:val="21"/>
                <w:shd w:val="clear" w:color="auto" w:fill="FFFFFF"/>
              </w:rPr>
              <w:t>BOX</w:t>
            </w:r>
            <w:r>
              <w:rPr>
                <w:rFonts w:ascii="Segoe UI" w:hAnsi="Segoe UI" w:cs="Segoe UI"/>
                <w:color w:val="172B4D"/>
                <w:sz w:val="21"/>
                <w:szCs w:val="21"/>
                <w:shd w:val="clear" w:color="auto" w:fill="FFFFFF"/>
              </w:rPr>
              <w:t> is in upper case, result is GPO BOX 544.</w:t>
            </w:r>
            <w:r>
              <w:rPr>
                <w:noProof/>
              </w:rPr>
              <w:drawing>
                <wp:inline distT="0" distB="0" distL="0" distR="0" wp14:anchorId="49E40C66" wp14:editId="284B8ECB">
                  <wp:extent cx="4818106" cy="3405278"/>
                  <wp:effectExtent l="0" t="0" r="190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6033" cy="3417949"/>
                          </a:xfrm>
                          <a:prstGeom prst="rect">
                            <a:avLst/>
                          </a:prstGeom>
                        </pic:spPr>
                      </pic:pic>
                    </a:graphicData>
                  </a:graphic>
                </wp:inline>
              </w:drawing>
            </w:r>
          </w:p>
        </w:tc>
      </w:tr>
      <w:bookmarkEnd w:id="3"/>
    </w:tbl>
    <w:p w14:paraId="431DF43D" w14:textId="77777777" w:rsidR="00686896" w:rsidRDefault="00686896" w:rsidP="00415028">
      <w:pPr>
        <w:ind w:left="283" w:right="283"/>
        <w:rPr>
          <w:color w:val="595959" w:themeColor="text1" w:themeTint="A6"/>
          <w:sz w:val="22"/>
          <w:szCs w:val="26"/>
        </w:rPr>
      </w:pPr>
    </w:p>
    <w:p w14:paraId="74449EE4" w14:textId="77777777" w:rsidR="001D6763" w:rsidRDefault="001D6763" w:rsidP="00415028">
      <w:pPr>
        <w:ind w:left="283" w:right="283"/>
        <w:rPr>
          <w:rFonts w:eastAsiaTheme="majorEastAsia" w:cstheme="majorBidi"/>
          <w:color w:val="595959" w:themeColor="text1" w:themeTint="A6"/>
          <w:sz w:val="22"/>
          <w:szCs w:val="26"/>
        </w:rPr>
      </w:pPr>
      <w:r>
        <w:br w:type="page"/>
      </w:r>
    </w:p>
    <w:p w14:paraId="7C33A5AC" w14:textId="77777777" w:rsidR="00D26A04" w:rsidRDefault="00D26A04" w:rsidP="00415028">
      <w:pPr>
        <w:ind w:left="283" w:right="283"/>
      </w:pPr>
    </w:p>
    <w:bookmarkEnd w:id="2"/>
    <w:p w14:paraId="12B118B2" w14:textId="77777777" w:rsidR="00990F2C" w:rsidRPr="00990F2C" w:rsidRDefault="00990F2C" w:rsidP="00415028">
      <w:pPr>
        <w:widowControl/>
        <w:spacing w:after="160" w:line="259" w:lineRule="auto"/>
        <w:ind w:left="283" w:right="283"/>
        <w:rPr>
          <w:rFonts w:eastAsiaTheme="minorEastAsia"/>
        </w:rPr>
      </w:pPr>
    </w:p>
    <w:p w14:paraId="14BE9C8C" w14:textId="1B7037A9" w:rsidR="006D6B9B" w:rsidRPr="00427CCE" w:rsidRDefault="006D6B9B" w:rsidP="00415028">
      <w:pPr>
        <w:pStyle w:val="SUBGEADINGRELEASENOTES"/>
        <w:ind w:left="283" w:right="283"/>
      </w:pPr>
      <w:r w:rsidRPr="00427CCE">
        <w:t>Installation Instructions</w:t>
      </w:r>
    </w:p>
    <w:p w14:paraId="6F885337" w14:textId="77777777" w:rsidR="006D6B9B" w:rsidRPr="00427CCE" w:rsidRDefault="006D6B9B" w:rsidP="00415028">
      <w:pPr>
        <w:ind w:left="283" w:right="283"/>
      </w:pPr>
    </w:p>
    <w:p w14:paraId="47E004FF" w14:textId="2337D48D"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in order to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7"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8" w:history="1">
        <w:r w:rsidRPr="00427CCE">
          <w:rPr>
            <w:rStyle w:val="Hyperlink"/>
          </w:rPr>
          <w:t>LoqateSupport@gbgplc.com</w:t>
        </w:r>
      </w:hyperlink>
      <w:r w:rsidRPr="00427CCE">
        <w:rPr>
          <w:szCs w:val="20"/>
        </w:rPr>
        <w:t>.</w:t>
      </w:r>
    </w:p>
    <w:sectPr w:rsidR="006D6B9B" w:rsidRPr="00427CCE" w:rsidSect="00415028">
      <w:footerReference w:type="default" r:id="rId19"/>
      <w:pgSz w:w="16840" w:h="11910" w:orient="landscape"/>
      <w:pgMar w:top="460" w:right="270" w:bottom="1020" w:left="10"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4BF66" w14:textId="77777777" w:rsidR="005157C9" w:rsidRDefault="005157C9">
      <w:r>
        <w:separator/>
      </w:r>
    </w:p>
  </w:endnote>
  <w:endnote w:type="continuationSeparator" w:id="0">
    <w:p w14:paraId="7332D75A" w14:textId="77777777" w:rsidR="005157C9" w:rsidRDefault="005157C9">
      <w:r>
        <w:continuationSeparator/>
      </w:r>
    </w:p>
  </w:endnote>
  <w:endnote w:type="continuationNotice" w:id="1">
    <w:p w14:paraId="46384BBF" w14:textId="77777777" w:rsidR="005157C9" w:rsidRDefault="00515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4DF1" w14:textId="6F55FD7C" w:rsidR="005157C9" w:rsidRPr="002B15B0" w:rsidRDefault="008F2CC8" w:rsidP="00415028">
    <w:pPr>
      <w:pStyle w:val="BodyText"/>
      <w:spacing w:before="80"/>
      <w:ind w:left="426"/>
      <w:rPr>
        <w:rFonts w:ascii="Verdana" w:hAnsi="Verdana"/>
      </w:rPr>
    </w:pPr>
    <w:r>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77777777"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3B2B6"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w:t>
    </w:r>
    <w:proofErr w:type="gramStart"/>
    <w:r w:rsidRPr="002B15B0">
      <w:rPr>
        <w:rFonts w:ascii="Verdana" w:hAnsi="Verdana"/>
        <w:color w:val="575756"/>
        <w:spacing w:val="2"/>
      </w:rPr>
      <w:t>3910</w:t>
    </w:r>
    <w:r w:rsidRPr="002B15B0">
      <w:rPr>
        <w:rFonts w:ascii="Verdana" w:hAnsi="Verdana"/>
        <w:color w:val="575756"/>
      </w:rPr>
      <w:t xml:space="preserve">  </w:t>
    </w:r>
    <w:r w:rsidRPr="002B15B0">
      <w:rPr>
        <w:rFonts w:ascii="Verdana" w:hAnsi="Verdana"/>
        <w:color w:val="575756"/>
        <w:position w:val="2"/>
      </w:rPr>
      <w:t>|</w:t>
    </w:r>
    <w:proofErr w:type="gramEnd"/>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2" w:history="1">
      <w:r w:rsidRPr="002B15B0">
        <w:rPr>
          <w:rStyle w:val="Hyperlink"/>
          <w:rFonts w:ascii="Verdana" w:hAnsi="Verdana"/>
        </w:rPr>
        <w:t>http://www.loqate.com</w:t>
      </w:r>
    </w:hyperlink>
  </w:p>
  <w:p w14:paraId="5DC1F3B5" w14:textId="77777777" w:rsidR="005157C9" w:rsidRPr="002B15B0" w:rsidRDefault="005157C9" w:rsidP="00415028">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74AF61B5" w14:textId="77777777" w:rsidR="005157C9" w:rsidRPr="002B15B0" w:rsidRDefault="005157C9" w:rsidP="00415028">
    <w:pPr>
      <w:tabs>
        <w:tab w:val="left" w:pos="4809"/>
        <w:tab w:val="right" w:pos="10880"/>
      </w:tabs>
      <w:spacing w:before="98"/>
      <w:ind w:left="106" w:firstLine="320"/>
      <w:rPr>
        <w:noProof/>
        <w:color w:val="575756"/>
        <w:sz w:val="12"/>
        <w:lang w:val="en-GB" w:eastAsia="en-GB"/>
      </w:rPr>
    </w:pPr>
    <w:r w:rsidRPr="002B15B0">
      <w:rPr>
        <w:noProof/>
        <w:color w:val="575756"/>
        <w:sz w:val="12"/>
        <w:lang w:val="en-GB" w:eastAsia="en-GB"/>
      </w:rPr>
      <w:tab/>
    </w:r>
    <w:r w:rsidRPr="002B15B0">
      <w:rPr>
        <w:noProof/>
        <w:color w:val="575756"/>
        <w:sz w:val="12"/>
        <w:lang w:val="en-GB" w:eastAsia="en-GB"/>
      </w:rPr>
      <w:tab/>
    </w:r>
    <w:r w:rsidRPr="002B15B0">
      <w:rPr>
        <w:noProof/>
        <w:color w:val="2B579A"/>
        <w:shd w:val="clear" w:color="auto" w:fill="E6E6E6"/>
      </w:rPr>
      <w:drawing>
        <wp:inline distT="0" distB="0" distL="0" distR="0" wp14:anchorId="73917F6B" wp14:editId="2FD2258E">
          <wp:extent cx="1562100" cy="531114"/>
          <wp:effectExtent l="0" t="0" r="0" b="2540"/>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3">
                    <a:extLst>
                      <a:ext uri="{28A0092B-C50C-407E-A947-70E740481C1C}">
                        <a14:useLocalDpi xmlns:a14="http://schemas.microsoft.com/office/drawing/2010/main" val="0"/>
                      </a:ext>
                    </a:extLst>
                  </a:blip>
                  <a:stretch>
                    <a:fillRect/>
                  </a:stretch>
                </pic:blipFill>
                <pic:spPr>
                  <a:xfrm>
                    <a:off x="0" y="0"/>
                    <a:ext cx="1562100" cy="531114"/>
                  </a:xfrm>
                  <a:prstGeom prst="rect">
                    <a:avLst/>
                  </a:prstGeom>
                </pic:spPr>
              </pic:pic>
            </a:graphicData>
          </a:graphic>
        </wp:inline>
      </w:drawing>
    </w:r>
  </w:p>
  <w:p w14:paraId="07445FBB" w14:textId="77777777" w:rsidR="005157C9" w:rsidRPr="002B15B0" w:rsidRDefault="005157C9" w:rsidP="00B83558">
    <w:pPr>
      <w:spacing w:before="98"/>
      <w:ind w:left="106"/>
      <w:rPr>
        <w:noProof/>
        <w:color w:val="575756"/>
        <w:sz w:val="12"/>
        <w:lang w:val="en-GB" w:eastAsia="en-GB"/>
      </w:rPr>
    </w:pP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5C5A" w14:textId="77777777" w:rsidR="005157C9" w:rsidRDefault="005157C9">
      <w:r>
        <w:separator/>
      </w:r>
    </w:p>
  </w:footnote>
  <w:footnote w:type="continuationSeparator" w:id="0">
    <w:p w14:paraId="19A73B52" w14:textId="77777777" w:rsidR="005157C9" w:rsidRDefault="005157C9">
      <w:r>
        <w:continuationSeparator/>
      </w:r>
    </w:p>
  </w:footnote>
  <w:footnote w:type="continuationNotice" w:id="1">
    <w:p w14:paraId="480E2474" w14:textId="77777777" w:rsidR="005157C9" w:rsidRDefault="005157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12.65pt;height:112.6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17"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5"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2"/>
  </w:num>
  <w:num w:numId="4">
    <w:abstractNumId w:val="0"/>
  </w:num>
  <w:num w:numId="5">
    <w:abstractNumId w:val="26"/>
  </w:num>
  <w:num w:numId="6">
    <w:abstractNumId w:val="21"/>
  </w:num>
  <w:num w:numId="7">
    <w:abstractNumId w:val="12"/>
  </w:num>
  <w:num w:numId="8">
    <w:abstractNumId w:val="13"/>
  </w:num>
  <w:num w:numId="9">
    <w:abstractNumId w:val="15"/>
  </w:num>
  <w:num w:numId="10">
    <w:abstractNumId w:val="18"/>
  </w:num>
  <w:num w:numId="11">
    <w:abstractNumId w:val="23"/>
  </w:num>
  <w:num w:numId="12">
    <w:abstractNumId w:val="20"/>
  </w:num>
  <w:num w:numId="13">
    <w:abstractNumId w:val="27"/>
  </w:num>
  <w:num w:numId="14">
    <w:abstractNumId w:val="14"/>
  </w:num>
  <w:num w:numId="15">
    <w:abstractNumId w:val="16"/>
  </w:num>
  <w:num w:numId="16">
    <w:abstractNumId w:val="17"/>
  </w:num>
  <w:num w:numId="17">
    <w:abstractNumId w:val="9"/>
  </w:num>
  <w:num w:numId="18">
    <w:abstractNumId w:val="8"/>
  </w:num>
  <w:num w:numId="19">
    <w:abstractNumId w:val="28"/>
  </w:num>
  <w:num w:numId="20">
    <w:abstractNumId w:val="2"/>
  </w:num>
  <w:num w:numId="21">
    <w:abstractNumId w:val="6"/>
  </w:num>
  <w:num w:numId="22">
    <w:abstractNumId w:val="1"/>
  </w:num>
  <w:num w:numId="23">
    <w:abstractNumId w:val="7"/>
  </w:num>
  <w:num w:numId="24">
    <w:abstractNumId w:val="25"/>
  </w:num>
  <w:num w:numId="25">
    <w:abstractNumId w:val="11"/>
  </w:num>
  <w:num w:numId="26">
    <w:abstractNumId w:val="19"/>
  </w:num>
  <w:num w:numId="27">
    <w:abstractNumId w:val="3"/>
  </w:num>
  <w:num w:numId="28">
    <w:abstractNumId w:val="4"/>
  </w:num>
  <w:num w:numId="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3F88"/>
    <w:rsid w:val="000C50E5"/>
    <w:rsid w:val="000C5207"/>
    <w:rsid w:val="000C5AA8"/>
    <w:rsid w:val="000C6860"/>
    <w:rsid w:val="000D1D03"/>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2659"/>
    <w:rsid w:val="00143A34"/>
    <w:rsid w:val="00146F7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31BD"/>
    <w:rsid w:val="001751C1"/>
    <w:rsid w:val="00177369"/>
    <w:rsid w:val="00181E87"/>
    <w:rsid w:val="00183629"/>
    <w:rsid w:val="00183E7D"/>
    <w:rsid w:val="00184280"/>
    <w:rsid w:val="001843C7"/>
    <w:rsid w:val="0018457D"/>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C0930"/>
    <w:rsid w:val="001C2027"/>
    <w:rsid w:val="001C46DD"/>
    <w:rsid w:val="001C4C22"/>
    <w:rsid w:val="001C5520"/>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72B8"/>
    <w:rsid w:val="00230922"/>
    <w:rsid w:val="0023381E"/>
    <w:rsid w:val="00234275"/>
    <w:rsid w:val="0024154D"/>
    <w:rsid w:val="002423DF"/>
    <w:rsid w:val="00242458"/>
    <w:rsid w:val="0024309B"/>
    <w:rsid w:val="00243C46"/>
    <w:rsid w:val="00244B85"/>
    <w:rsid w:val="0024527D"/>
    <w:rsid w:val="00247893"/>
    <w:rsid w:val="0025006C"/>
    <w:rsid w:val="00254B41"/>
    <w:rsid w:val="00254D6A"/>
    <w:rsid w:val="002550E8"/>
    <w:rsid w:val="0025595C"/>
    <w:rsid w:val="00256809"/>
    <w:rsid w:val="002569CD"/>
    <w:rsid w:val="0025710E"/>
    <w:rsid w:val="002607A1"/>
    <w:rsid w:val="0026221F"/>
    <w:rsid w:val="00265445"/>
    <w:rsid w:val="00266567"/>
    <w:rsid w:val="00270CF0"/>
    <w:rsid w:val="002723E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1EEA"/>
    <w:rsid w:val="002F2F58"/>
    <w:rsid w:val="002F3B6D"/>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5B0F"/>
    <w:rsid w:val="00340AA6"/>
    <w:rsid w:val="00341998"/>
    <w:rsid w:val="00342694"/>
    <w:rsid w:val="003440E4"/>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3972"/>
    <w:rsid w:val="0044532F"/>
    <w:rsid w:val="00450F43"/>
    <w:rsid w:val="00452B6B"/>
    <w:rsid w:val="004543D3"/>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7F3"/>
    <w:rsid w:val="005124D1"/>
    <w:rsid w:val="00512604"/>
    <w:rsid w:val="00513FFC"/>
    <w:rsid w:val="005154EC"/>
    <w:rsid w:val="005157C9"/>
    <w:rsid w:val="0051591E"/>
    <w:rsid w:val="005165BF"/>
    <w:rsid w:val="0051756E"/>
    <w:rsid w:val="00521AD6"/>
    <w:rsid w:val="00524225"/>
    <w:rsid w:val="00530721"/>
    <w:rsid w:val="00530CB5"/>
    <w:rsid w:val="00530E01"/>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EDD"/>
    <w:rsid w:val="0065772C"/>
    <w:rsid w:val="00665779"/>
    <w:rsid w:val="0066615E"/>
    <w:rsid w:val="0067030C"/>
    <w:rsid w:val="00671E58"/>
    <w:rsid w:val="00672F58"/>
    <w:rsid w:val="006744D8"/>
    <w:rsid w:val="00675492"/>
    <w:rsid w:val="00675FED"/>
    <w:rsid w:val="00677E50"/>
    <w:rsid w:val="00681215"/>
    <w:rsid w:val="0068306B"/>
    <w:rsid w:val="00683FD0"/>
    <w:rsid w:val="00686896"/>
    <w:rsid w:val="00687808"/>
    <w:rsid w:val="0069085B"/>
    <w:rsid w:val="00695F83"/>
    <w:rsid w:val="0069660F"/>
    <w:rsid w:val="00697E8F"/>
    <w:rsid w:val="006A31E6"/>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D6B9B"/>
    <w:rsid w:val="006D7814"/>
    <w:rsid w:val="006D7975"/>
    <w:rsid w:val="006E0E6E"/>
    <w:rsid w:val="006E2F13"/>
    <w:rsid w:val="006E3194"/>
    <w:rsid w:val="006E3940"/>
    <w:rsid w:val="006F01BC"/>
    <w:rsid w:val="006F2CA6"/>
    <w:rsid w:val="006F3BF4"/>
    <w:rsid w:val="006F5AAF"/>
    <w:rsid w:val="006F7859"/>
    <w:rsid w:val="0070283C"/>
    <w:rsid w:val="0070336C"/>
    <w:rsid w:val="00704CEF"/>
    <w:rsid w:val="00706396"/>
    <w:rsid w:val="007118CD"/>
    <w:rsid w:val="00711E9B"/>
    <w:rsid w:val="007135B6"/>
    <w:rsid w:val="007154D9"/>
    <w:rsid w:val="00717722"/>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904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D2946"/>
    <w:rsid w:val="007D57DB"/>
    <w:rsid w:val="007D6999"/>
    <w:rsid w:val="007E192F"/>
    <w:rsid w:val="007E2A34"/>
    <w:rsid w:val="007E365A"/>
    <w:rsid w:val="007E4F63"/>
    <w:rsid w:val="007E65CC"/>
    <w:rsid w:val="007E682D"/>
    <w:rsid w:val="007F20BA"/>
    <w:rsid w:val="007F25BC"/>
    <w:rsid w:val="007F374B"/>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E3D"/>
    <w:rsid w:val="00816E40"/>
    <w:rsid w:val="00821235"/>
    <w:rsid w:val="00821697"/>
    <w:rsid w:val="008216D5"/>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7190"/>
    <w:rsid w:val="00980DC1"/>
    <w:rsid w:val="009812C2"/>
    <w:rsid w:val="0098449F"/>
    <w:rsid w:val="00987354"/>
    <w:rsid w:val="00990C9B"/>
    <w:rsid w:val="00990F2C"/>
    <w:rsid w:val="0099356C"/>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615B"/>
    <w:rsid w:val="009D742B"/>
    <w:rsid w:val="009D78BE"/>
    <w:rsid w:val="009E01FD"/>
    <w:rsid w:val="009F08AA"/>
    <w:rsid w:val="009F08B2"/>
    <w:rsid w:val="009F0E5F"/>
    <w:rsid w:val="009F1E17"/>
    <w:rsid w:val="009F223C"/>
    <w:rsid w:val="009F4123"/>
    <w:rsid w:val="009F5000"/>
    <w:rsid w:val="009F5001"/>
    <w:rsid w:val="009F5FF1"/>
    <w:rsid w:val="009F6619"/>
    <w:rsid w:val="009F6756"/>
    <w:rsid w:val="009F6C75"/>
    <w:rsid w:val="009F7232"/>
    <w:rsid w:val="00A003C7"/>
    <w:rsid w:val="00A0113E"/>
    <w:rsid w:val="00A06945"/>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83"/>
    <w:rsid w:val="00AD6FAB"/>
    <w:rsid w:val="00AD738B"/>
    <w:rsid w:val="00AD745E"/>
    <w:rsid w:val="00AE19AC"/>
    <w:rsid w:val="00AE36C0"/>
    <w:rsid w:val="00AE5086"/>
    <w:rsid w:val="00AE6DF6"/>
    <w:rsid w:val="00AF0E70"/>
    <w:rsid w:val="00AF7DBC"/>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4C2F"/>
    <w:rsid w:val="00C14EBC"/>
    <w:rsid w:val="00C1557D"/>
    <w:rsid w:val="00C20368"/>
    <w:rsid w:val="00C24218"/>
    <w:rsid w:val="00C2447F"/>
    <w:rsid w:val="00C24F14"/>
    <w:rsid w:val="00C25D7C"/>
    <w:rsid w:val="00C27F23"/>
    <w:rsid w:val="00C30A2A"/>
    <w:rsid w:val="00C337F2"/>
    <w:rsid w:val="00C3536A"/>
    <w:rsid w:val="00C3714F"/>
    <w:rsid w:val="00C37296"/>
    <w:rsid w:val="00C41FB6"/>
    <w:rsid w:val="00C44E42"/>
    <w:rsid w:val="00C46797"/>
    <w:rsid w:val="00C472A2"/>
    <w:rsid w:val="00C47A36"/>
    <w:rsid w:val="00C50DDF"/>
    <w:rsid w:val="00C5209E"/>
    <w:rsid w:val="00C535EE"/>
    <w:rsid w:val="00C570E9"/>
    <w:rsid w:val="00C60AE6"/>
    <w:rsid w:val="00C63BB9"/>
    <w:rsid w:val="00C64158"/>
    <w:rsid w:val="00C6422D"/>
    <w:rsid w:val="00C6633D"/>
    <w:rsid w:val="00C704E5"/>
    <w:rsid w:val="00C711F1"/>
    <w:rsid w:val="00C7668E"/>
    <w:rsid w:val="00C778D3"/>
    <w:rsid w:val="00C77C35"/>
    <w:rsid w:val="00C8000F"/>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5476"/>
    <w:rsid w:val="00CF00B0"/>
    <w:rsid w:val="00CF17FD"/>
    <w:rsid w:val="00CF3403"/>
    <w:rsid w:val="00CF3538"/>
    <w:rsid w:val="00D03ADE"/>
    <w:rsid w:val="00D03D52"/>
    <w:rsid w:val="00D048E1"/>
    <w:rsid w:val="00D05215"/>
    <w:rsid w:val="00D0667A"/>
    <w:rsid w:val="00D06B25"/>
    <w:rsid w:val="00D07AE6"/>
    <w:rsid w:val="00D1056C"/>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6FD"/>
    <w:rsid w:val="00E56DFC"/>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90376"/>
    <w:rsid w:val="00F934F7"/>
    <w:rsid w:val="00F94055"/>
    <w:rsid w:val="00F96AFD"/>
    <w:rsid w:val="00FA2150"/>
    <w:rsid w:val="00FA2CDE"/>
    <w:rsid w:val="00FA7030"/>
    <w:rsid w:val="00FB0E44"/>
    <w:rsid w:val="00FB1E97"/>
    <w:rsid w:val="00FB514E"/>
    <w:rsid w:val="00FB5A76"/>
    <w:rsid w:val="00FB7E6A"/>
    <w:rsid w:val="00FC0AE5"/>
    <w:rsid w:val="00FC19CC"/>
    <w:rsid w:val="00FC2B98"/>
    <w:rsid w:val="00FC44EE"/>
    <w:rsid w:val="00FD0BAC"/>
    <w:rsid w:val="00FD6494"/>
    <w:rsid w:val="00FD7591"/>
    <w:rsid w:val="00FD7857"/>
    <w:rsid w:val="00FD79BC"/>
    <w:rsid w:val="00FE0E69"/>
    <w:rsid w:val="00FE36A5"/>
    <w:rsid w:val="00FE5BB4"/>
    <w:rsid w:val="00FF0134"/>
    <w:rsid w:val="00FF46CA"/>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LoqateSupport@gbgplc.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hyperlink" Target="mailto:LoqateSupport@gbgplc.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release-information/2021q4-1-resolved-case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www.loqate.com" TargetMode="External"/><Relationship Id="rId1" Type="http://schemas.openxmlformats.org/officeDocument/2006/relationships/hyperlink" Target="mailto:support@loqa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3.xml><?xml version="1.0" encoding="utf-8"?>
<ds:datastoreItem xmlns:ds="http://schemas.openxmlformats.org/officeDocument/2006/customXml" ds:itemID="{8F637753-6986-4900-88F6-25EB748B907B}">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microsoft.com/sharepoint/v3"/>
    <ds:schemaRef ds:uri="http://purl.org/dc/dcmitype/"/>
    <ds:schemaRef ds:uri="c4f1de9e-c276-42dc-8419-f90ae9d76655"/>
    <ds:schemaRef ds:uri="http://schemas.microsoft.com/office/2006/metadata/properties"/>
    <ds:schemaRef ds:uri="http://schemas.openxmlformats.org/package/2006/metadata/core-properties"/>
    <ds:schemaRef ds:uri="70665602-e53c-4b8c-8663-e834c1d26d25"/>
  </ds:schemaRefs>
</ds:datastoreItem>
</file>

<file path=customXml/itemProps4.xml><?xml version="1.0" encoding="utf-8"?>
<ds:datastoreItem xmlns:ds="http://schemas.openxmlformats.org/officeDocument/2006/customXml" ds:itemID="{DBA7FEA7-5042-4327-ADD8-4AED4FB3E6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7</cp:revision>
  <cp:lastPrinted>2021-10-13T01:48:00Z</cp:lastPrinted>
  <dcterms:created xsi:type="dcterms:W3CDTF">2021-11-30T15:24:00Z</dcterms:created>
  <dcterms:modified xsi:type="dcterms:W3CDTF">2021-11-30T15:31:00Z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